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BE02" w14:textId="77777777" w:rsidR="00B8721F" w:rsidRDefault="00B8721F" w:rsidP="00B8721F">
      <w:pPr>
        <w:ind w:left="4956"/>
        <w:contextualSpacing/>
        <w:jc w:val="both"/>
        <w:rPr>
          <w:rFonts w:ascii="Arial" w:hAnsi="Arial" w:cs="Arial"/>
          <w:lang w:val="az-Latn-AZ"/>
        </w:rPr>
      </w:pPr>
      <w:r>
        <w:rPr>
          <w:rStyle w:val="jlqj4b"/>
        </w:rPr>
        <w:t>Утверждено приказом Государственного управления радиочастот № 158 от 01 ноября 2021 года.</w:t>
      </w:r>
    </w:p>
    <w:p w14:paraId="6D06FBB6" w14:textId="77777777" w:rsidR="00B8721F" w:rsidRDefault="00B8721F" w:rsidP="00B8721F">
      <w:pPr>
        <w:jc w:val="both"/>
        <w:rPr>
          <w:rFonts w:ascii="Arial" w:hAnsi="Arial" w:cs="Arial"/>
          <w:lang w:val="az-Latn-AZ"/>
        </w:rPr>
      </w:pPr>
    </w:p>
    <w:p w14:paraId="3FF35CAB" w14:textId="77777777" w:rsidR="00B8721F" w:rsidRDefault="00B8721F" w:rsidP="00B8721F">
      <w:pPr>
        <w:jc w:val="both"/>
        <w:rPr>
          <w:rFonts w:ascii="Arial" w:hAnsi="Arial" w:cs="Arial"/>
          <w:lang w:val="az-Latn-AZ"/>
        </w:rPr>
      </w:pPr>
    </w:p>
    <w:p w14:paraId="7636E728" w14:textId="77777777" w:rsidR="00B8721F" w:rsidRDefault="00B8721F" w:rsidP="00B8721F">
      <w:pPr>
        <w:jc w:val="center"/>
        <w:rPr>
          <w:rStyle w:val="jlqj4b"/>
          <w:b/>
        </w:rPr>
      </w:pPr>
      <w:r>
        <w:rPr>
          <w:rStyle w:val="jlqj4b"/>
          <w:b/>
        </w:rPr>
        <w:t xml:space="preserve">ИНСТРУКЦИЯ </w:t>
      </w:r>
    </w:p>
    <w:p w14:paraId="334EDDF9" w14:textId="77777777" w:rsidR="00B8721F" w:rsidRDefault="00B8721F" w:rsidP="00B8721F">
      <w:pPr>
        <w:jc w:val="center"/>
        <w:rPr>
          <w:rFonts w:ascii="Arial" w:hAnsi="Arial" w:cs="Arial"/>
          <w:lang w:val="az-Latn-AZ"/>
        </w:rPr>
      </w:pPr>
      <w:r>
        <w:rPr>
          <w:rStyle w:val="jlqj4b"/>
          <w:b/>
        </w:rPr>
        <w:t xml:space="preserve">по заполнению Анкет (в виде груп) для </w:t>
      </w:r>
      <w:r>
        <w:rPr>
          <w:rStyle w:val="jlqj4b"/>
          <w:b/>
          <w:sz w:val="22"/>
        </w:rPr>
        <w:t>радиорелейной линии</w:t>
      </w:r>
    </w:p>
    <w:p w14:paraId="73A6576B" w14:textId="77777777" w:rsidR="00B8721F" w:rsidRDefault="00B8721F" w:rsidP="00B8721F">
      <w:pPr>
        <w:jc w:val="center"/>
        <w:rPr>
          <w:rFonts w:ascii="Arial" w:hAnsi="Arial" w:cs="Arial"/>
          <w:b/>
          <w:lang w:val="az-Latn-AZ"/>
        </w:rPr>
      </w:pPr>
    </w:p>
    <w:p w14:paraId="4F74AC64" w14:textId="77777777" w:rsidR="00B8721F" w:rsidRDefault="00B8721F" w:rsidP="00B8721F">
      <w:pPr>
        <w:pStyle w:val="ListParagraph"/>
        <w:numPr>
          <w:ilvl w:val="0"/>
          <w:numId w:val="1"/>
        </w:numPr>
        <w:jc w:val="both"/>
        <w:rPr>
          <w:rStyle w:val="jlqj4b"/>
          <w:lang w:val="en-US"/>
        </w:rPr>
      </w:pPr>
      <w:r>
        <w:rPr>
          <w:rStyle w:val="jlqj4b"/>
          <w:b/>
        </w:rPr>
        <w:t xml:space="preserve">Общие положения </w:t>
      </w:r>
    </w:p>
    <w:p w14:paraId="4A06505E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>В соответствии с параграфом 2.24 «Правил выделения, регистрации, использования и присвоения радиочастот», утвержденных Постановлением Кабинета Министров Азербайджанской Республики № 22 от 1 февраля 2007 года, анкеты, представленные Государственной администрацией радиочастот (далее ГУР) пользователю в соответствии с назначением развертываемой сети, должны быть заполнены и возвращены.</w:t>
      </w:r>
      <w:r>
        <w:rPr>
          <w:rStyle w:val="viiyi"/>
        </w:rPr>
        <w:t xml:space="preserve"> </w:t>
      </w:r>
      <w:r>
        <w:rPr>
          <w:rStyle w:val="jlqj4b"/>
        </w:rPr>
        <w:t>При этом, согласно п. 2.25, после оплаты произведенной для каждого средства радиосвязи на основании предоставленных анкетных материалов, данные средства радиосвязи регистрируются в ГУР и выдаются соответствующие разрешения на их использование.</w:t>
      </w:r>
    </w:p>
    <w:p w14:paraId="6F461065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>Формы заявок на радиосвязь можно скачать с официального сайта ГУР (https://dri.az/page/6).</w:t>
      </w:r>
      <w:r>
        <w:rPr>
          <w:rStyle w:val="viiyi"/>
        </w:rPr>
        <w:t xml:space="preserve"> </w:t>
      </w:r>
      <w:r>
        <w:rPr>
          <w:rStyle w:val="jlqj4b"/>
        </w:rPr>
        <w:t>При заполнении анкеты необходимо соблюдать требования настоящей Инструкции.</w:t>
      </w:r>
      <w:r>
        <w:rPr>
          <w:rStyle w:val="viiyi"/>
        </w:rPr>
        <w:t xml:space="preserve"> </w:t>
      </w:r>
      <w:r>
        <w:rPr>
          <w:rStyle w:val="jlqj4b"/>
        </w:rPr>
        <w:t>После заполнения и утверждения, форма заявки должна быть отправлена в ГУР в бумажной или в электронной форме (в отсканированной форме через веб-сайт dri.az). При этом, документы заявки можно подать через сайт e-gov.az (раздел приема заявок и документов на регистрацию радиосвязи).</w:t>
      </w:r>
      <w:r>
        <w:rPr>
          <w:rStyle w:val="viiyi"/>
        </w:rPr>
        <w:t xml:space="preserve"> </w:t>
      </w:r>
      <w:r>
        <w:rPr>
          <w:rStyle w:val="jlqj4b"/>
        </w:rPr>
        <w:t>В соответствии с административными регламентами, запрос и приложенные к нему документы исследуются в ГУР, а при обнаружении каких-либо недостатков, которые могут быть устранены и необоснованны для отказа, заявитель уведомляется об этом в письменной форме в течении 5 дней.</w:t>
      </w:r>
      <w:r>
        <w:rPr>
          <w:rStyle w:val="viiyi"/>
        </w:rPr>
        <w:t xml:space="preserve"> </w:t>
      </w:r>
      <w:r>
        <w:rPr>
          <w:rStyle w:val="jlqj4b"/>
        </w:rPr>
        <w:t>После устранения этих недостатков и повторной подачи запроса, рассмотрение недостатков и вынесение соответствующего решения должны быть осуществлены в течение 15 дней.</w:t>
      </w:r>
    </w:p>
    <w:p w14:paraId="6DEFE242" w14:textId="77777777" w:rsidR="00B8721F" w:rsidRDefault="00B8721F" w:rsidP="00B8721F">
      <w:pPr>
        <w:jc w:val="both"/>
        <w:rPr>
          <w:rFonts w:ascii="Arial" w:hAnsi="Arial" w:cs="Arial"/>
          <w:b/>
          <w:lang w:val="az-Latn-AZ"/>
        </w:rPr>
      </w:pPr>
    </w:p>
    <w:p w14:paraId="26C7E9A6" w14:textId="77777777" w:rsidR="00B8721F" w:rsidRDefault="00B8721F" w:rsidP="00B8721F">
      <w:pPr>
        <w:pStyle w:val="ListParagraph"/>
        <w:numPr>
          <w:ilvl w:val="0"/>
          <w:numId w:val="1"/>
        </w:numPr>
        <w:jc w:val="both"/>
        <w:rPr>
          <w:rStyle w:val="jlqj4b"/>
        </w:rPr>
      </w:pPr>
      <w:r>
        <w:rPr>
          <w:rStyle w:val="jlqj4b"/>
          <w:b/>
        </w:rPr>
        <w:t>Основные понятия, используемые в форме анкеты</w:t>
      </w:r>
    </w:p>
    <w:p w14:paraId="5E5B5FE4" w14:textId="77777777" w:rsidR="00B8721F" w:rsidRDefault="00B8721F" w:rsidP="00B8721F">
      <w:pPr>
        <w:jc w:val="both"/>
        <w:rPr>
          <w:rStyle w:val="jlqj4b"/>
        </w:rPr>
      </w:pPr>
    </w:p>
    <w:p w14:paraId="727A9ED1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  <w:b/>
        </w:rPr>
        <w:t>Радиорелейная линия</w:t>
      </w:r>
      <w:r>
        <w:rPr>
          <w:rStyle w:val="jlqj4b"/>
        </w:rPr>
        <w:t xml:space="preserve"> это оборудование, используемое для передачи радиосигналов между двумя стационарными устройствами радиосвязи. </w:t>
      </w:r>
    </w:p>
    <w:p w14:paraId="652BB4D4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  <w:b/>
        </w:rPr>
        <w:t>Модуляция</w:t>
      </w:r>
      <w:r>
        <w:rPr>
          <w:rStyle w:val="jlqj4b"/>
        </w:rPr>
        <w:t xml:space="preserve">  это соединение несущего сигнала с высокочастотным сигналом для передачи несущего сигнала. </w:t>
      </w:r>
    </w:p>
    <w:p w14:paraId="58C5216D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  <w:b/>
        </w:rPr>
        <w:t>Тип излучения</w:t>
      </w:r>
      <w:r>
        <w:rPr>
          <w:rStyle w:val="jlqj4b"/>
        </w:rPr>
        <w:t xml:space="preserve"> это специальный индикатор, который характеризует тип модуляции, тип излучения и другие передаваемые данные.</w:t>
      </w:r>
    </w:p>
    <w:p w14:paraId="1DA02878" w14:textId="77777777" w:rsidR="00B8721F" w:rsidRDefault="00B8721F" w:rsidP="00B8721F">
      <w:pPr>
        <w:jc w:val="both"/>
        <w:rPr>
          <w:rStyle w:val="jlqj4b"/>
        </w:rPr>
      </w:pPr>
    </w:p>
    <w:p w14:paraId="243D3D37" w14:textId="77777777" w:rsidR="00B8721F" w:rsidRDefault="00B8721F" w:rsidP="00B8721F">
      <w:pPr>
        <w:pStyle w:val="ListParagraph"/>
        <w:jc w:val="both"/>
        <w:rPr>
          <w:rStyle w:val="jlqj4b"/>
          <w:b/>
        </w:rPr>
      </w:pPr>
      <w:r>
        <w:rPr>
          <w:rStyle w:val="jlqj4b"/>
          <w:b/>
        </w:rPr>
        <w:t xml:space="preserve">3, Разъяснения по заполнению анкеты </w:t>
      </w:r>
    </w:p>
    <w:p w14:paraId="5C62349B" w14:textId="77777777" w:rsidR="00B8721F" w:rsidRDefault="00B8721F" w:rsidP="00B8721F">
      <w:pPr>
        <w:pStyle w:val="ListParagraph"/>
        <w:jc w:val="both"/>
        <w:rPr>
          <w:rStyle w:val="jlqj4b"/>
          <w:b/>
        </w:rPr>
      </w:pPr>
    </w:p>
    <w:p w14:paraId="3E88FF0B" w14:textId="77777777" w:rsidR="00B8721F" w:rsidRDefault="00B8721F" w:rsidP="00B8721F">
      <w:pPr>
        <w:pStyle w:val="ListParagraph"/>
        <w:jc w:val="both"/>
        <w:rPr>
          <w:rStyle w:val="jlqj4b"/>
          <w:b/>
        </w:rPr>
      </w:pPr>
    </w:p>
    <w:p w14:paraId="28AD0F95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строке 1 («Имя собственника, а именно юридическое и физическое лицо») указываются полное наименование зарегистрированного государством юридического лица или полное имя физического лица, зарегистрированного в качестве собственника налогового идентификационного номера. </w:t>
      </w:r>
    </w:p>
    <w:p w14:paraId="123B7EA7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lastRenderedPageBreak/>
        <w:t xml:space="preserve">В столбце 2 («Тип, марка») указываются модель и тип радиорелейной линии. </w:t>
      </w:r>
    </w:p>
    <w:p w14:paraId="0F769700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3 («Место установки») указываются адрес и административно-территориальная единица, где фактически установлено оборудование (Площадка A). </w:t>
      </w:r>
    </w:p>
    <w:p w14:paraId="538B95AB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4 («Место установки») указываются адрес и административно-территориальная единица, где оборудование (Площадка B) фактически установлено. </w:t>
      </w:r>
    </w:p>
    <w:p w14:paraId="2CF9A394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столбцах 5-8 («Географические координаты») указываются географические координаты (E и N) места, где фактически установлено оборудование (площадка A и площадка B, соответственно). </w:t>
      </w:r>
    </w:p>
    <w:p w14:paraId="0005322C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9 («Дата ввода в эксплуатацию») указывается дата ввода радиорелейной линии в сеть радиосвязи. </w:t>
      </w:r>
    </w:p>
    <w:p w14:paraId="62626772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10 (Цель) указывается тип передаваемых данных (звук, данные, широковещательные сигналы). </w:t>
      </w:r>
    </w:p>
    <w:p w14:paraId="742779B9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столбцах 11–12 («Частота (MHs)») указываются радиочастоты передачи и приема, на которые настроена радиорелейная линия. </w:t>
      </w:r>
    </w:p>
    <w:p w14:paraId="297598D5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13 («Ширина частотного канала (MHs)») указывается ширина полосы частот, которая будет использоваться для выделенных частотных каналов. </w:t>
      </w:r>
    </w:p>
    <w:p w14:paraId="1F74E924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14 («Пропускная способность канала») указывается пропускная способность передачи данных (кбит / с). </w:t>
      </w:r>
    </w:p>
    <w:p w14:paraId="6320C1AC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15 («Тип модуляции») указывается способ подключения несущего сигнала к высокочастотному сигналу для передачи несущего сигнала (QPSK, QAM и т. Д.). </w:t>
      </w:r>
    </w:p>
    <w:p w14:paraId="7AB2DB24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16 («Тип излучения») указывается тип передаваемого луча (G7D, G7W, G9W, D7W и т. Д.). </w:t>
      </w:r>
    </w:p>
    <w:p w14:paraId="3A8DF75A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17 («Тип антенны, тип») указывается тип и вид антенны, подключенной к радиорелейной линии. </w:t>
      </w:r>
    </w:p>
    <w:p w14:paraId="73571A86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18 («Поляризация антенны») указывается передача передаваемого сигнала в вертикальной (V) или горизонтальной (H) плоскости. </w:t>
      </w:r>
    </w:p>
    <w:p w14:paraId="6FA176EB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19 («Высота антенны над землей») указывается высота антенн, свисающих с земли и подключенных к каждому оборудованию (площадка A / площадка B). </w:t>
      </w:r>
    </w:p>
    <w:p w14:paraId="205C1979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20 («Максимальный азимут излучения антенны») указывается направление (градус) передаваемого сигнала каждого оборудования (площадка A / площадка B). </w:t>
      </w:r>
    </w:p>
    <w:p w14:paraId="0849F36E" w14:textId="77777777" w:rsidR="00B8721F" w:rsidRDefault="00B8721F" w:rsidP="00B8721F">
      <w:pPr>
        <w:jc w:val="both"/>
        <w:rPr>
          <w:rStyle w:val="jlqj4b"/>
        </w:rPr>
      </w:pPr>
      <w:r>
        <w:rPr>
          <w:rStyle w:val="jlqj4b"/>
        </w:rPr>
        <w:t xml:space="preserve">В столбце 21 («Усиление антенны») указывается коэфицент усиления антенны (дБ) передаваемого сигнала. </w:t>
      </w:r>
    </w:p>
    <w:p w14:paraId="180C667B" w14:textId="77777777" w:rsidR="00B8721F" w:rsidRDefault="00B8721F" w:rsidP="00B8721F">
      <w:pPr>
        <w:jc w:val="both"/>
        <w:rPr>
          <w:rFonts w:ascii="Arial" w:hAnsi="Arial" w:cs="Arial"/>
        </w:rPr>
      </w:pPr>
      <w:r>
        <w:rPr>
          <w:rStyle w:val="jlqj4b"/>
        </w:rPr>
        <w:t>В столбце 22 («Ширина диаграммы направленности антенны») указывается ширина диаграммы направленности антенны в зависимости от максимального направления трансляций.</w:t>
      </w:r>
    </w:p>
    <w:p w14:paraId="2EC433E8" w14:textId="77777777" w:rsidR="00B8721F" w:rsidRDefault="00B8721F" w:rsidP="00B8721F">
      <w:pPr>
        <w:rPr>
          <w:rFonts w:ascii="Arial" w:hAnsi="Arial" w:cs="Arial"/>
        </w:rPr>
      </w:pPr>
    </w:p>
    <w:p w14:paraId="353AEE08" w14:textId="77777777" w:rsidR="0094447F" w:rsidRDefault="0094447F"/>
    <w:sectPr w:rsidR="00944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94984"/>
    <w:multiLevelType w:val="hybridMultilevel"/>
    <w:tmpl w:val="F454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06"/>
    <w:rsid w:val="0094447F"/>
    <w:rsid w:val="00B8721F"/>
    <w:rsid w:val="00C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BCBCD-EBF3-468E-B7A3-E872F236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21F"/>
    <w:pPr>
      <w:spacing w:after="0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21F"/>
    <w:pPr>
      <w:ind w:left="720"/>
      <w:contextualSpacing/>
    </w:pPr>
  </w:style>
  <w:style w:type="character" w:customStyle="1" w:styleId="jlqj4b">
    <w:name w:val="jlqj4b"/>
    <w:basedOn w:val="DefaultParagraphFont"/>
    <w:rsid w:val="00B8721F"/>
  </w:style>
  <w:style w:type="character" w:customStyle="1" w:styleId="viiyi">
    <w:name w:val="viiyi"/>
    <w:basedOn w:val="DefaultParagraphFont"/>
    <w:rsid w:val="00B8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Sitarə Səfərova</dc:creator>
  <cp:keywords/>
  <dc:description/>
  <cp:lastModifiedBy>Sitarə Səfərova</cp:lastModifiedBy>
  <cp:revision>2</cp:revision>
  <dcterms:created xsi:type="dcterms:W3CDTF">2021-11-26T08:58:00Z</dcterms:created>
  <dcterms:modified xsi:type="dcterms:W3CDTF">2021-11-26T08:58:00Z</dcterms:modified>
</cp:coreProperties>
</file>