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D2" w:rsidRPr="003E21D2" w:rsidRDefault="003E21D2" w:rsidP="003E21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(Azeri Lat)" w:hAnsi="Arial (Azeri Lat)" w:cs="Segoe UI"/>
          <w:color w:val="212529"/>
          <w:sz w:val="28"/>
          <w:szCs w:val="28"/>
        </w:rPr>
      </w:pPr>
      <w:bookmarkStart w:id="0" w:name="_GoBack"/>
      <w:r w:rsidRPr="003E21D2">
        <w:rPr>
          <w:rStyle w:val="Strong"/>
          <w:rFonts w:ascii="Calibri" w:hAnsi="Calibri" w:cs="Calibri"/>
          <w:color w:val="212529"/>
          <w:sz w:val="28"/>
          <w:szCs w:val="28"/>
        </w:rPr>
        <w:t>İ</w:t>
      </w:r>
      <w:r w:rsidRPr="003E21D2">
        <w:rPr>
          <w:rStyle w:val="Strong"/>
          <w:rFonts w:ascii="Arial (Azeri Lat)" w:hAnsi="Arial (Azeri Lat)" w:cs="Segoe UI"/>
          <w:color w:val="212529"/>
          <w:sz w:val="28"/>
          <w:szCs w:val="28"/>
        </w:rPr>
        <w:t>nternational Law on Radiofrequency Management</w:t>
      </w:r>
    </w:p>
    <w:p w:rsidR="003E21D2" w:rsidRPr="003E21D2" w:rsidRDefault="003E21D2" w:rsidP="003E21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(Azeri Lat)" w:hAnsi="Arial (Azeri Lat)" w:cs="Segoe UI"/>
          <w:color w:val="212529"/>
          <w:sz w:val="28"/>
          <w:szCs w:val="28"/>
        </w:rPr>
      </w:pPr>
      <w:r w:rsidRPr="003E21D2">
        <w:rPr>
          <w:rFonts w:ascii="Arial (Azeri Lat)" w:hAnsi="Arial (Azeri Lat)" w:cs="Segoe UI"/>
          <w:color w:val="212529"/>
          <w:sz w:val="28"/>
          <w:szCs w:val="28"/>
        </w:rPr>
        <w:t> </w:t>
      </w:r>
    </w:p>
    <w:p w:rsidR="003E21D2" w:rsidRPr="003E21D2" w:rsidRDefault="003E21D2" w:rsidP="003E21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(Azeri Lat)" w:hAnsi="Arial (Azeri Lat)" w:cs="Segoe UI"/>
          <w:color w:val="212529"/>
          <w:sz w:val="28"/>
          <w:szCs w:val="28"/>
        </w:rPr>
      </w:pPr>
      <w:r w:rsidRPr="003E21D2">
        <w:rPr>
          <w:rFonts w:ascii="Arial (Azeri Lat)" w:hAnsi="Arial (Azeri Lat)" w:cs="Segoe UI"/>
          <w:color w:val="212529"/>
          <w:sz w:val="28"/>
          <w:szCs w:val="28"/>
        </w:rPr>
        <w:t> </w:t>
      </w:r>
    </w:p>
    <w:p w:rsidR="003E21D2" w:rsidRPr="003E21D2" w:rsidRDefault="003E21D2" w:rsidP="003E21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(Azeri Lat)" w:hAnsi="Arial (Azeri Lat)" w:cs="Segoe UI"/>
          <w:color w:val="212529"/>
          <w:sz w:val="28"/>
          <w:szCs w:val="28"/>
        </w:rPr>
      </w:pPr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Works on Radiofrequency spectrum are not limited to one territory, if necessary the coordination work is underway.  Associated Administrations at </w:t>
      </w:r>
      <w:r w:rsidRPr="003E21D2">
        <w:rPr>
          <w:rFonts w:ascii="Calibri" w:hAnsi="Calibri" w:cs="Calibri"/>
          <w:color w:val="212529"/>
          <w:sz w:val="28"/>
          <w:szCs w:val="28"/>
        </w:rPr>
        <w:t>İ</w:t>
      </w:r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nternational conferences and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Radiocommunication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Regulation</w:t>
      </w:r>
      <w:proofErr w:type="gramStart"/>
      <w:r w:rsidRPr="003E21D2">
        <w:rPr>
          <w:rFonts w:ascii="Arial (Azeri Lat)" w:hAnsi="Arial (Azeri Lat)" w:cs="Arial (Azeri Lat)"/>
          <w:color w:val="212529"/>
          <w:sz w:val="28"/>
          <w:szCs w:val="28"/>
        </w:rPr>
        <w:t> </w:t>
      </w:r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reviewed</w:t>
      </w:r>
      <w:proofErr w:type="gram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by the participants who represent ITU are mandatory for  Member States of  ITU.   ITU regulates the implementation of obligations under this Regulation. Radio Regulation is a document which determines the rules related to usage of</w:t>
      </w:r>
      <w:proofErr w:type="gramStart"/>
      <w:r w:rsidRPr="003E21D2">
        <w:rPr>
          <w:rFonts w:ascii="Arial (Azeri Lat)" w:hAnsi="Arial (Azeri Lat)" w:cs="Segoe UI"/>
          <w:color w:val="212529"/>
          <w:sz w:val="28"/>
          <w:szCs w:val="28"/>
        </w:rPr>
        <w:t>  radio</w:t>
      </w:r>
      <w:proofErr w:type="gram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facilities that work in the territories of  The International Telecommunication Union Member States   . </w:t>
      </w:r>
    </w:p>
    <w:p w:rsidR="003E21D2" w:rsidRPr="003E21D2" w:rsidRDefault="003E21D2" w:rsidP="003E21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(Azeri Lat)" w:hAnsi="Arial (Azeri Lat)" w:cs="Segoe UI"/>
          <w:color w:val="212529"/>
          <w:sz w:val="28"/>
          <w:szCs w:val="28"/>
        </w:rPr>
      </w:pPr>
      <w:r w:rsidRPr="003E21D2">
        <w:rPr>
          <w:rFonts w:ascii="Arial (Azeri Lat)" w:hAnsi="Arial (Azeri Lat)" w:cs="Segoe UI"/>
          <w:color w:val="212529"/>
          <w:sz w:val="28"/>
          <w:szCs w:val="28"/>
        </w:rPr>
        <w:t>Radio Regulation is set of rules which works in radio range and</w:t>
      </w:r>
      <w:proofErr w:type="gramStart"/>
      <w:r w:rsidRPr="003E21D2">
        <w:rPr>
          <w:rFonts w:ascii="Arial (Azeri Lat)" w:hAnsi="Arial (Azeri Lat)" w:cs="Segoe UI"/>
          <w:color w:val="212529"/>
          <w:sz w:val="28"/>
          <w:szCs w:val="28"/>
        </w:rPr>
        <w:t>  which</w:t>
      </w:r>
      <w:proofErr w:type="gram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regulates operation of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equipments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that irradiate electromagnetic waves. Each of these equipment is considered potential obstacle source and for this reason  the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equipments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of radio receiver and radio transmitter to be worked at the same time in different countries there is need to be defined the parameters and usage rules of the same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equipments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>. Radio Regulation covers -- classification of radio use,  separated radio range division rules for various communication types (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radiocommunication,radio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broadcasting,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television,radionavigation,radiolocation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), as well the norms of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equipments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parameters which receive and irradiate radio waves, the radiofrequency usage terms allocated for radio services in different regions,  the determination rules of working frequency considered for  </w:t>
      </w:r>
      <w:proofErr w:type="spellStart"/>
      <w:r w:rsidRPr="003E21D2">
        <w:rPr>
          <w:rFonts w:ascii="Arial (Azeri Lat)" w:hAnsi="Arial (Azeri Lat)" w:cs="Segoe UI"/>
          <w:color w:val="212529"/>
          <w:sz w:val="28"/>
          <w:szCs w:val="28"/>
        </w:rPr>
        <w:t>radiostations</w:t>
      </w:r>
      <w:proofErr w:type="spellEnd"/>
      <w:r w:rsidRPr="003E21D2">
        <w:rPr>
          <w:rFonts w:ascii="Arial (Azeri Lat)" w:hAnsi="Arial (Azeri Lat)" w:cs="Segoe UI"/>
          <w:color w:val="212529"/>
          <w:sz w:val="28"/>
          <w:szCs w:val="28"/>
        </w:rPr>
        <w:t xml:space="preserve"> and other items . </w:t>
      </w:r>
    </w:p>
    <w:bookmarkEnd w:id="0"/>
    <w:p w:rsidR="00C811A8" w:rsidRPr="003E21D2" w:rsidRDefault="003E21D2" w:rsidP="003E21D2">
      <w:pPr>
        <w:spacing w:line="360" w:lineRule="auto"/>
        <w:rPr>
          <w:rFonts w:ascii="Arial (Azeri Lat)" w:hAnsi="Arial (Azeri Lat)"/>
          <w:sz w:val="28"/>
          <w:szCs w:val="28"/>
        </w:rPr>
      </w:pPr>
    </w:p>
    <w:sectPr w:rsidR="00C811A8" w:rsidRPr="003E21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0"/>
    <w:rsid w:val="003E21D2"/>
    <w:rsid w:val="004905E3"/>
    <w:rsid w:val="008D23B4"/>
    <w:rsid w:val="00B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06538-DB5A-45D6-A314-3F830A4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2</cp:revision>
  <dcterms:created xsi:type="dcterms:W3CDTF">2021-04-29T21:29:00Z</dcterms:created>
  <dcterms:modified xsi:type="dcterms:W3CDTF">2021-04-29T21:30:00Z</dcterms:modified>
</cp:coreProperties>
</file>